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BF" w:rsidRDefault="00360BBF" w:rsidP="00360BBF">
      <w:pPr>
        <w:rPr>
          <w:sz w:val="20"/>
          <w:szCs w:val="20"/>
        </w:rPr>
      </w:pPr>
    </w:p>
    <w:p w:rsidR="00360BBF" w:rsidRDefault="00360BBF" w:rsidP="00360BBF">
      <w:pPr>
        <w:rPr>
          <w:rFonts w:ascii="Arial" w:hAnsi="Arial" w:cs="Arial"/>
          <w:b/>
          <w:sz w:val="20"/>
          <w:szCs w:val="20"/>
        </w:rPr>
      </w:pPr>
      <w:r>
        <w:rPr>
          <w:rFonts w:ascii="Arial" w:hAnsi="Arial" w:cs="Arial"/>
          <w:b/>
          <w:sz w:val="20"/>
          <w:szCs w:val="20"/>
        </w:rPr>
        <w:t xml:space="preserve">Inclusive Arts &amp; Culture Commissioning   </w:t>
      </w:r>
    </w:p>
    <w:p w:rsidR="00360BBF" w:rsidRDefault="00360BBF" w:rsidP="00360BBF">
      <w:pPr>
        <w:rPr>
          <w:rFonts w:ascii="Arial" w:hAnsi="Arial" w:cs="Arial"/>
          <w:b/>
          <w:sz w:val="20"/>
          <w:szCs w:val="20"/>
        </w:rPr>
      </w:pPr>
      <w:r w:rsidRPr="00C926DF">
        <w:rPr>
          <w:rFonts w:ascii="Arial" w:hAnsi="Arial" w:cs="Arial"/>
          <w:b/>
          <w:sz w:val="20"/>
          <w:szCs w:val="20"/>
        </w:rPr>
        <w:t>Strategic Objective</w:t>
      </w:r>
      <w:r w:rsidRPr="00C926DF">
        <w:rPr>
          <w:rFonts w:ascii="Arial" w:hAnsi="Arial" w:cs="Arial"/>
          <w:b/>
          <w:sz w:val="20"/>
          <w:szCs w:val="20"/>
        </w:rPr>
        <w:tab/>
      </w:r>
      <w:r w:rsidRPr="00C926DF">
        <w:rPr>
          <w:rFonts w:ascii="Arial" w:hAnsi="Arial" w:cs="Arial"/>
          <w:b/>
          <w:sz w:val="20"/>
          <w:szCs w:val="20"/>
        </w:rPr>
        <w:tab/>
      </w:r>
      <w:r>
        <w:rPr>
          <w:rFonts w:ascii="Arial" w:hAnsi="Arial" w:cs="Arial"/>
          <w:b/>
          <w:sz w:val="20"/>
          <w:szCs w:val="20"/>
        </w:rPr>
        <w:t>Strong and Active Communities</w:t>
      </w:r>
      <w:r w:rsidRPr="00C926DF">
        <w:rPr>
          <w:rFonts w:ascii="Arial" w:hAnsi="Arial" w:cs="Arial"/>
          <w:b/>
          <w:sz w:val="20"/>
          <w:szCs w:val="20"/>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5"/>
        <w:gridCol w:w="1134"/>
        <w:gridCol w:w="1134"/>
      </w:tblGrid>
      <w:tr w:rsidR="00360BBF" w:rsidRPr="00D85932" w:rsidTr="00EE22B6">
        <w:tc>
          <w:tcPr>
            <w:tcW w:w="12015" w:type="dxa"/>
            <w:shd w:val="clear" w:color="auto" w:fill="auto"/>
          </w:tcPr>
          <w:p w:rsidR="00360BBF" w:rsidRPr="00D85932" w:rsidRDefault="00360BBF" w:rsidP="00EE22B6">
            <w:pPr>
              <w:rPr>
                <w:rFonts w:ascii="Arial" w:hAnsi="Arial" w:cs="Arial"/>
                <w:b/>
                <w:sz w:val="20"/>
                <w:szCs w:val="20"/>
              </w:rPr>
            </w:pPr>
            <w:r w:rsidRPr="00D85932">
              <w:rPr>
                <w:rFonts w:ascii="Arial" w:hAnsi="Arial" w:cs="Arial"/>
                <w:b/>
                <w:sz w:val="20"/>
                <w:szCs w:val="20"/>
              </w:rPr>
              <w:t>Organisation &amp; project description</w:t>
            </w:r>
          </w:p>
        </w:tc>
        <w:tc>
          <w:tcPr>
            <w:tcW w:w="1134" w:type="dxa"/>
            <w:shd w:val="clear" w:color="auto" w:fill="auto"/>
          </w:tcPr>
          <w:p w:rsidR="00360BBF" w:rsidRPr="00D85932" w:rsidRDefault="00360BBF" w:rsidP="00360BBF">
            <w:pPr>
              <w:rPr>
                <w:rFonts w:ascii="Arial" w:hAnsi="Arial" w:cs="Arial"/>
                <w:b/>
                <w:sz w:val="20"/>
                <w:szCs w:val="20"/>
              </w:rPr>
            </w:pPr>
            <w:r>
              <w:rPr>
                <w:rFonts w:ascii="Arial" w:hAnsi="Arial" w:cs="Arial"/>
                <w:b/>
                <w:sz w:val="20"/>
                <w:szCs w:val="20"/>
              </w:rPr>
              <w:t>Grant awarded 2017</w:t>
            </w:r>
            <w:r w:rsidRPr="00D85932">
              <w:rPr>
                <w:rFonts w:ascii="Arial" w:hAnsi="Arial" w:cs="Arial"/>
                <w:b/>
                <w:sz w:val="20"/>
                <w:szCs w:val="20"/>
              </w:rPr>
              <w:t>/1</w:t>
            </w:r>
            <w:r>
              <w:rPr>
                <w:rFonts w:ascii="Arial" w:hAnsi="Arial" w:cs="Arial"/>
                <w:b/>
                <w:sz w:val="20"/>
                <w:szCs w:val="20"/>
              </w:rPr>
              <w:t>8</w:t>
            </w:r>
          </w:p>
        </w:tc>
        <w:tc>
          <w:tcPr>
            <w:tcW w:w="1134" w:type="dxa"/>
            <w:shd w:val="clear" w:color="auto" w:fill="auto"/>
          </w:tcPr>
          <w:p w:rsidR="00360BBF" w:rsidRPr="00D85932" w:rsidRDefault="00360BBF" w:rsidP="00360BBF">
            <w:pPr>
              <w:rPr>
                <w:rFonts w:ascii="Arial" w:hAnsi="Arial" w:cs="Arial"/>
                <w:b/>
                <w:sz w:val="20"/>
                <w:szCs w:val="20"/>
              </w:rPr>
            </w:pPr>
            <w:proofErr w:type="spellStart"/>
            <w:r w:rsidRPr="00D85932">
              <w:rPr>
                <w:rFonts w:ascii="Arial" w:hAnsi="Arial" w:cs="Arial"/>
                <w:b/>
                <w:sz w:val="20"/>
                <w:szCs w:val="20"/>
              </w:rPr>
              <w:t>Recom</w:t>
            </w:r>
            <w:r>
              <w:rPr>
                <w:rFonts w:ascii="Arial" w:hAnsi="Arial" w:cs="Arial"/>
                <w:b/>
                <w:sz w:val="20"/>
                <w:szCs w:val="20"/>
              </w:rPr>
              <w:t>’d</w:t>
            </w:r>
            <w:proofErr w:type="spellEnd"/>
            <w:r w:rsidRPr="00D85932">
              <w:rPr>
                <w:rFonts w:ascii="Arial" w:hAnsi="Arial" w:cs="Arial"/>
                <w:b/>
                <w:sz w:val="20"/>
                <w:szCs w:val="20"/>
              </w:rPr>
              <w:t xml:space="preserve"> for 201</w:t>
            </w:r>
            <w:r>
              <w:rPr>
                <w:rFonts w:ascii="Arial" w:hAnsi="Arial" w:cs="Arial"/>
                <w:b/>
                <w:sz w:val="20"/>
                <w:szCs w:val="20"/>
              </w:rPr>
              <w:t>8/19</w:t>
            </w:r>
          </w:p>
        </w:tc>
      </w:tr>
      <w:tr w:rsidR="00360BBF" w:rsidRPr="00D85932" w:rsidTr="00EE22B6">
        <w:tc>
          <w:tcPr>
            <w:tcW w:w="12015" w:type="dxa"/>
            <w:shd w:val="clear" w:color="auto" w:fill="auto"/>
          </w:tcPr>
          <w:p w:rsidR="00360BBF" w:rsidRPr="004C7AFE" w:rsidRDefault="00360BBF" w:rsidP="00EE22B6">
            <w:pPr>
              <w:rPr>
                <w:rFonts w:ascii="Arial" w:hAnsi="Arial" w:cs="Arial"/>
                <w:b/>
                <w:sz w:val="20"/>
                <w:szCs w:val="20"/>
                <w:u w:val="single"/>
              </w:rPr>
            </w:pPr>
            <w:r w:rsidRPr="004C7AFE">
              <w:rPr>
                <w:rFonts w:ascii="Arial" w:hAnsi="Arial" w:cs="Arial"/>
                <w:b/>
                <w:sz w:val="20"/>
                <w:szCs w:val="20"/>
                <w:u w:val="single"/>
              </w:rPr>
              <w:t>Fusion Arts</w:t>
            </w:r>
          </w:p>
          <w:p w:rsidR="00360BBF" w:rsidRDefault="00360BBF" w:rsidP="00EE22B6">
            <w:pPr>
              <w:rPr>
                <w:rFonts w:ascii="Arial" w:hAnsi="Arial" w:cs="Arial"/>
                <w:sz w:val="20"/>
                <w:szCs w:val="20"/>
              </w:rPr>
            </w:pPr>
            <w:r w:rsidRPr="00AF0B1B">
              <w:rPr>
                <w:rFonts w:ascii="Arial" w:hAnsi="Arial" w:cs="Arial"/>
                <w:sz w:val="20"/>
                <w:szCs w:val="20"/>
              </w:rPr>
              <w:t xml:space="preserve">A project that fosters and promotes the improvement and development of knowledge, understanding and appreciation of the arts for the benefit of the public and in particular community groups, young people, older people and people with special needs. </w:t>
            </w:r>
          </w:p>
          <w:p w:rsidR="00360BBF" w:rsidRDefault="00360BBF" w:rsidP="00EE22B6">
            <w:pPr>
              <w:rPr>
                <w:rFonts w:ascii="Arial" w:hAnsi="Arial" w:cs="Arial"/>
                <w:sz w:val="20"/>
                <w:szCs w:val="20"/>
              </w:rPr>
            </w:pPr>
          </w:p>
          <w:p w:rsidR="00360BBF" w:rsidRDefault="00360BBF" w:rsidP="00EE22B6">
            <w:pPr>
              <w:rPr>
                <w:rFonts w:ascii="Arial" w:hAnsi="Arial" w:cs="Arial"/>
                <w:sz w:val="20"/>
                <w:szCs w:val="20"/>
              </w:rPr>
            </w:pPr>
            <w:r>
              <w:rPr>
                <w:rFonts w:ascii="Arial" w:hAnsi="Arial" w:cs="Arial"/>
                <w:sz w:val="20"/>
                <w:szCs w:val="20"/>
              </w:rPr>
              <w:t>Their aim</w:t>
            </w:r>
            <w:r w:rsidRPr="00AF0B1B">
              <w:rPr>
                <w:rFonts w:ascii="Arial" w:hAnsi="Arial" w:cs="Arial"/>
                <w:sz w:val="20"/>
                <w:szCs w:val="20"/>
              </w:rPr>
              <w:t xml:space="preserve"> </w:t>
            </w:r>
            <w:r>
              <w:rPr>
                <w:rFonts w:ascii="Arial" w:hAnsi="Arial" w:cs="Arial"/>
                <w:sz w:val="20"/>
                <w:szCs w:val="20"/>
              </w:rPr>
              <w:t xml:space="preserve">is </w:t>
            </w:r>
            <w:r w:rsidRPr="00AF0B1B">
              <w:rPr>
                <w:rFonts w:ascii="Arial" w:hAnsi="Arial" w:cs="Arial"/>
                <w:sz w:val="20"/>
                <w:szCs w:val="20"/>
              </w:rPr>
              <w:t xml:space="preserve">to deliver inclusive projects with outcomes that bring people together in established cultural venues and events. </w:t>
            </w:r>
            <w:r>
              <w:rPr>
                <w:rFonts w:ascii="Arial" w:hAnsi="Arial" w:cs="Arial"/>
                <w:sz w:val="20"/>
                <w:szCs w:val="20"/>
              </w:rPr>
              <w:t xml:space="preserve"> </w:t>
            </w:r>
            <w:r w:rsidRPr="00AF0B1B">
              <w:rPr>
                <w:rFonts w:ascii="Arial" w:hAnsi="Arial" w:cs="Arial"/>
                <w:sz w:val="20"/>
                <w:szCs w:val="20"/>
              </w:rPr>
              <w:t>The funding will be used to deliver community focused projects.</w:t>
            </w:r>
          </w:p>
          <w:p w:rsidR="00194C33" w:rsidRDefault="00194C33" w:rsidP="00EE22B6">
            <w:pPr>
              <w:rPr>
                <w:rFonts w:ascii="Arial" w:hAnsi="Arial" w:cs="Arial"/>
                <w:sz w:val="20"/>
                <w:szCs w:val="20"/>
              </w:rPr>
            </w:pPr>
          </w:p>
          <w:p w:rsidR="00194C33" w:rsidRDefault="00194C33" w:rsidP="00EE22B6">
            <w:pPr>
              <w:rPr>
                <w:rFonts w:ascii="Arial" w:hAnsi="Arial" w:cs="Arial"/>
                <w:sz w:val="20"/>
                <w:szCs w:val="20"/>
              </w:rPr>
            </w:pPr>
            <w:r>
              <w:rPr>
                <w:rFonts w:ascii="Arial" w:hAnsi="Arial" w:cs="Arial"/>
                <w:sz w:val="20"/>
                <w:szCs w:val="20"/>
              </w:rPr>
              <w:t>Funding will be used to deliver this work (including £8,837 to pay rent payable to Oxford City Council)</w:t>
            </w:r>
          </w:p>
          <w:p w:rsidR="00360BBF" w:rsidRDefault="00360BBF" w:rsidP="00EE22B6">
            <w:pPr>
              <w:rPr>
                <w:rFonts w:ascii="Arial" w:hAnsi="Arial" w:cs="Arial"/>
                <w:sz w:val="20"/>
                <w:szCs w:val="20"/>
              </w:rPr>
            </w:pPr>
          </w:p>
          <w:p w:rsidR="00360BBF" w:rsidRPr="00D85932" w:rsidRDefault="00360BBF" w:rsidP="005D5C89">
            <w:pPr>
              <w:rPr>
                <w:rFonts w:ascii="Arial" w:hAnsi="Arial" w:cs="Arial"/>
                <w:sz w:val="20"/>
                <w:szCs w:val="20"/>
              </w:rPr>
            </w:pPr>
          </w:p>
        </w:tc>
        <w:tc>
          <w:tcPr>
            <w:tcW w:w="1134" w:type="dxa"/>
            <w:shd w:val="clear" w:color="auto" w:fill="auto"/>
          </w:tcPr>
          <w:p w:rsidR="00360BBF" w:rsidRPr="00D85932" w:rsidRDefault="00360BBF" w:rsidP="00EE22B6">
            <w:pPr>
              <w:rPr>
                <w:rFonts w:ascii="Arial" w:hAnsi="Arial" w:cs="Arial"/>
                <w:sz w:val="20"/>
                <w:szCs w:val="20"/>
              </w:rPr>
            </w:pPr>
            <w:r>
              <w:rPr>
                <w:rFonts w:ascii="Arial" w:hAnsi="Arial" w:cs="Arial"/>
                <w:sz w:val="20"/>
                <w:szCs w:val="20"/>
              </w:rPr>
              <w:t>£28,128</w:t>
            </w:r>
          </w:p>
        </w:tc>
        <w:tc>
          <w:tcPr>
            <w:tcW w:w="1134" w:type="dxa"/>
            <w:shd w:val="clear" w:color="auto" w:fill="auto"/>
          </w:tcPr>
          <w:p w:rsidR="00360BBF" w:rsidRPr="00D85932" w:rsidRDefault="00360BBF" w:rsidP="00EE22B6">
            <w:pPr>
              <w:rPr>
                <w:rFonts w:ascii="Arial" w:hAnsi="Arial" w:cs="Arial"/>
                <w:sz w:val="20"/>
                <w:szCs w:val="20"/>
              </w:rPr>
            </w:pPr>
            <w:r>
              <w:rPr>
                <w:rFonts w:ascii="Arial" w:hAnsi="Arial" w:cs="Arial"/>
                <w:sz w:val="20"/>
                <w:szCs w:val="20"/>
              </w:rPr>
              <w:t>£28,128</w:t>
            </w:r>
          </w:p>
        </w:tc>
      </w:tr>
      <w:tr w:rsidR="00360BBF" w:rsidRPr="00D85932" w:rsidTr="00EE22B6">
        <w:tc>
          <w:tcPr>
            <w:tcW w:w="12015" w:type="dxa"/>
            <w:shd w:val="clear" w:color="auto" w:fill="auto"/>
          </w:tcPr>
          <w:p w:rsidR="00360BBF" w:rsidRPr="004A1110" w:rsidRDefault="00360BBF" w:rsidP="00EE22B6">
            <w:pPr>
              <w:rPr>
                <w:rFonts w:ascii="Arial" w:hAnsi="Arial" w:cs="Arial"/>
                <w:b/>
                <w:sz w:val="20"/>
                <w:szCs w:val="20"/>
                <w:u w:val="single"/>
              </w:rPr>
            </w:pPr>
            <w:r w:rsidRPr="004A1110">
              <w:rPr>
                <w:rFonts w:ascii="Arial" w:hAnsi="Arial" w:cs="Arial"/>
                <w:b/>
                <w:sz w:val="20"/>
                <w:szCs w:val="20"/>
                <w:u w:val="single"/>
              </w:rPr>
              <w:t>Modern Art Oxford</w:t>
            </w:r>
          </w:p>
          <w:p w:rsidR="00360BBF" w:rsidRDefault="00360BBF" w:rsidP="00EE22B6">
            <w:pPr>
              <w:rPr>
                <w:rFonts w:ascii="Arial" w:hAnsi="Arial" w:cs="Arial"/>
                <w:sz w:val="20"/>
                <w:szCs w:val="20"/>
              </w:rPr>
            </w:pPr>
            <w:r w:rsidRPr="004C7AFE">
              <w:rPr>
                <w:rFonts w:ascii="Arial" w:hAnsi="Arial" w:cs="Arial"/>
                <w:sz w:val="20"/>
                <w:szCs w:val="20"/>
              </w:rPr>
              <w:t xml:space="preserve">This organisation, located in Pembroke Street, was established to promote modern visual arts to the public.  Working with artists they deliver a community &amp; education programme aiming to increase the enjoyment and understanding of contemporary art.  </w:t>
            </w:r>
          </w:p>
          <w:p w:rsidR="00360BBF" w:rsidRDefault="00360BBF" w:rsidP="00EE22B6">
            <w:pPr>
              <w:rPr>
                <w:rFonts w:ascii="Arial" w:hAnsi="Arial" w:cs="Arial"/>
                <w:sz w:val="20"/>
                <w:szCs w:val="20"/>
              </w:rPr>
            </w:pPr>
          </w:p>
          <w:p w:rsidR="00360BBF" w:rsidRDefault="00360BBF" w:rsidP="00EE22B6">
            <w:pPr>
              <w:rPr>
                <w:rFonts w:ascii="Arial" w:hAnsi="Arial" w:cs="Arial"/>
                <w:sz w:val="20"/>
                <w:szCs w:val="20"/>
              </w:rPr>
            </w:pPr>
            <w:r w:rsidRPr="004C7AFE">
              <w:rPr>
                <w:rFonts w:ascii="Arial" w:hAnsi="Arial" w:cs="Arial"/>
                <w:sz w:val="20"/>
                <w:szCs w:val="20"/>
              </w:rPr>
              <w:t>This funding will be used to pay rent charges</w:t>
            </w:r>
            <w:r w:rsidR="001D7CD0">
              <w:rPr>
                <w:rFonts w:ascii="Arial" w:hAnsi="Arial" w:cs="Arial"/>
                <w:sz w:val="20"/>
                <w:szCs w:val="20"/>
              </w:rPr>
              <w:t xml:space="preserve"> payable to Oxford City Council which in turn </w:t>
            </w:r>
            <w:proofErr w:type="spellStart"/>
            <w:r w:rsidR="001D7CD0">
              <w:rPr>
                <w:rFonts w:ascii="Arial" w:hAnsi="Arial" w:cs="Arial"/>
                <w:sz w:val="20"/>
                <w:szCs w:val="20"/>
              </w:rPr>
              <w:t>releasrd</w:t>
            </w:r>
            <w:proofErr w:type="spellEnd"/>
            <w:r w:rsidR="001D7CD0">
              <w:rPr>
                <w:rFonts w:ascii="Arial" w:hAnsi="Arial" w:cs="Arial"/>
                <w:sz w:val="20"/>
                <w:szCs w:val="20"/>
              </w:rPr>
              <w:t xml:space="preserve"> funds generated by the organisation  to contribute to the programme delivery, especially</w:t>
            </w:r>
            <w:bookmarkStart w:id="0" w:name="_GoBack"/>
            <w:bookmarkEnd w:id="0"/>
            <w:r w:rsidR="001D7CD0">
              <w:rPr>
                <w:rFonts w:ascii="Arial" w:hAnsi="Arial" w:cs="Arial"/>
                <w:sz w:val="20"/>
                <w:szCs w:val="20"/>
              </w:rPr>
              <w:t xml:space="preserve"> around their community and local artist engagement. </w:t>
            </w:r>
          </w:p>
          <w:p w:rsidR="00360BBF" w:rsidRDefault="00360BBF" w:rsidP="00EE22B6">
            <w:pPr>
              <w:rPr>
                <w:rFonts w:ascii="Arial" w:hAnsi="Arial" w:cs="Arial"/>
                <w:sz w:val="20"/>
                <w:szCs w:val="20"/>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£70,000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 xml:space="preserve">£70,000 </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Oxford Contemporary Music</w:t>
            </w:r>
          </w:p>
          <w:p w:rsidR="00360BBF" w:rsidRDefault="00360BBF" w:rsidP="00EE22B6">
            <w:pPr>
              <w:rPr>
                <w:rFonts w:ascii="Arial" w:hAnsi="Arial" w:cs="Arial"/>
                <w:sz w:val="20"/>
                <w:szCs w:val="20"/>
              </w:rPr>
            </w:pPr>
            <w:r w:rsidRPr="004A1110">
              <w:rPr>
                <w:rFonts w:ascii="Arial" w:hAnsi="Arial" w:cs="Arial"/>
                <w:sz w:val="20"/>
                <w:szCs w:val="20"/>
              </w:rPr>
              <w:t xml:space="preserve">A project working with artists and musicians to promote high quality new music to the public through the delivery of community focused projects. </w:t>
            </w:r>
          </w:p>
          <w:p w:rsidR="00360BBF" w:rsidRDefault="00360BBF" w:rsidP="00EE22B6">
            <w:pPr>
              <w:rPr>
                <w:rFonts w:ascii="Arial" w:hAnsi="Arial" w:cs="Arial"/>
                <w:sz w:val="20"/>
                <w:szCs w:val="20"/>
              </w:rPr>
            </w:pPr>
          </w:p>
          <w:p w:rsidR="00360BBF" w:rsidRPr="004A1110" w:rsidRDefault="00360BBF" w:rsidP="00EE22B6">
            <w:pPr>
              <w:rPr>
                <w:rFonts w:ascii="Arial" w:hAnsi="Arial" w:cs="Arial"/>
                <w:sz w:val="20"/>
                <w:szCs w:val="20"/>
              </w:rPr>
            </w:pPr>
            <w:r>
              <w:rPr>
                <w:rFonts w:ascii="Arial" w:hAnsi="Arial" w:cs="Arial"/>
                <w:sz w:val="20"/>
                <w:szCs w:val="20"/>
              </w:rPr>
              <w:t>The organisation is co</w:t>
            </w:r>
            <w:r w:rsidRPr="004A1110">
              <w:rPr>
                <w:rFonts w:ascii="Arial" w:hAnsi="Arial" w:cs="Arial"/>
                <w:sz w:val="20"/>
                <w:szCs w:val="20"/>
              </w:rPr>
              <w:t>re funded by the Arts Council and any funding awarded will be used to lever in other sources of funding. .</w:t>
            </w:r>
          </w:p>
          <w:p w:rsidR="00360BBF" w:rsidRPr="004A1110"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£10,000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£10,000</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Film Oxford</w:t>
            </w:r>
          </w:p>
          <w:p w:rsidR="00360BBF" w:rsidRDefault="00360BBF" w:rsidP="00EE22B6">
            <w:pPr>
              <w:rPr>
                <w:rFonts w:ascii="Arial" w:hAnsi="Arial" w:cs="Arial"/>
                <w:sz w:val="20"/>
                <w:szCs w:val="20"/>
              </w:rPr>
            </w:pPr>
            <w:r w:rsidRPr="005821B6">
              <w:rPr>
                <w:rFonts w:ascii="Arial" w:hAnsi="Arial" w:cs="Arial"/>
                <w:sz w:val="20"/>
                <w:szCs w:val="20"/>
              </w:rPr>
              <w:t>A project making film and digital media more accessible. Delivering training to increase opportunities for individual</w:t>
            </w:r>
            <w:r>
              <w:rPr>
                <w:rFonts w:ascii="Arial" w:hAnsi="Arial" w:cs="Arial"/>
                <w:sz w:val="20"/>
                <w:szCs w:val="20"/>
              </w:rPr>
              <w:t>s</w:t>
            </w:r>
            <w:r w:rsidRPr="005821B6">
              <w:rPr>
                <w:rFonts w:ascii="Arial" w:hAnsi="Arial" w:cs="Arial"/>
                <w:sz w:val="20"/>
                <w:szCs w:val="20"/>
              </w:rPr>
              <w:t xml:space="preserve"> into this industry.</w:t>
            </w:r>
          </w:p>
          <w:p w:rsidR="00360BBF" w:rsidRDefault="00360BBF" w:rsidP="00EE22B6">
            <w:pPr>
              <w:rPr>
                <w:rFonts w:ascii="Arial" w:hAnsi="Arial" w:cs="Arial"/>
                <w:sz w:val="20"/>
                <w:szCs w:val="20"/>
              </w:rPr>
            </w:pPr>
          </w:p>
          <w:p w:rsidR="00360BBF" w:rsidRDefault="00360BBF" w:rsidP="00EE22B6">
            <w:pPr>
              <w:rPr>
                <w:rFonts w:ascii="Arial" w:hAnsi="Arial" w:cs="Arial"/>
                <w:sz w:val="20"/>
                <w:szCs w:val="20"/>
              </w:rPr>
            </w:pPr>
            <w:r w:rsidRPr="005821B6">
              <w:rPr>
                <w:rFonts w:ascii="Arial" w:hAnsi="Arial" w:cs="Arial"/>
                <w:sz w:val="20"/>
                <w:szCs w:val="20"/>
              </w:rPr>
              <w:t>Funding will be used to deliver this work (including £5k to pay rent payable to Oxford City Council).</w:t>
            </w:r>
          </w:p>
          <w:p w:rsidR="00360BBF" w:rsidRDefault="00360BBF" w:rsidP="005D5C89">
            <w:pPr>
              <w:rPr>
                <w:rFonts w:ascii="Arial" w:hAnsi="Arial" w:cs="Arial"/>
                <w:b/>
                <w:sz w:val="20"/>
                <w:szCs w:val="20"/>
                <w:u w:val="single"/>
              </w:rPr>
            </w:pPr>
            <w:r w:rsidRPr="005821B6">
              <w:rPr>
                <w:rFonts w:ascii="Arial" w:hAnsi="Arial" w:cs="Arial"/>
                <w:sz w:val="20"/>
                <w:szCs w:val="20"/>
              </w:rPr>
              <w:t xml:space="preserve"> </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£25.000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£25,000</w:t>
            </w:r>
          </w:p>
        </w:tc>
      </w:tr>
      <w:tr w:rsidR="005D5C89" w:rsidRPr="005D5C89" w:rsidTr="005D5C89">
        <w:tc>
          <w:tcPr>
            <w:tcW w:w="12015" w:type="dxa"/>
            <w:tcBorders>
              <w:top w:val="single" w:sz="4" w:space="0" w:color="auto"/>
              <w:left w:val="single" w:sz="4" w:space="0" w:color="auto"/>
              <w:bottom w:val="single" w:sz="4" w:space="0" w:color="auto"/>
              <w:right w:val="single" w:sz="4" w:space="0" w:color="auto"/>
            </w:tcBorders>
            <w:shd w:val="clear" w:color="auto" w:fill="auto"/>
          </w:tcPr>
          <w:p w:rsidR="005D5C89" w:rsidRPr="005D5C89" w:rsidRDefault="005D5C89" w:rsidP="00C84110">
            <w:pPr>
              <w:rPr>
                <w:rFonts w:ascii="Arial" w:hAnsi="Arial" w:cs="Arial"/>
                <w:sz w:val="20"/>
                <w:szCs w:val="20"/>
                <w:u w:val="single"/>
              </w:rPr>
            </w:pPr>
            <w:r w:rsidRPr="005D5C89">
              <w:rPr>
                <w:rFonts w:ascii="Arial" w:hAnsi="Arial" w:cs="Arial"/>
                <w:b/>
                <w:sz w:val="20"/>
                <w:szCs w:val="20"/>
                <w:u w:val="single"/>
              </w:rPr>
              <w:t>Experience</w:t>
            </w:r>
            <w:r w:rsidRPr="005D5C89">
              <w:rPr>
                <w:rFonts w:ascii="Arial" w:hAnsi="Arial" w:cs="Arial"/>
                <w:sz w:val="20"/>
                <w:szCs w:val="20"/>
                <w:u w:val="single"/>
              </w:rPr>
              <w:t xml:space="preserve"> </w:t>
            </w:r>
            <w:r w:rsidRPr="005D5C89">
              <w:rPr>
                <w:rFonts w:ascii="Arial" w:hAnsi="Arial" w:cs="Arial"/>
                <w:b/>
                <w:sz w:val="20"/>
                <w:szCs w:val="20"/>
                <w:u w:val="single"/>
              </w:rPr>
              <w:t>Oxfordshire</w:t>
            </w:r>
          </w:p>
          <w:p w:rsidR="005D5C89" w:rsidRPr="005D5C89" w:rsidRDefault="005D5C89" w:rsidP="00C84110">
            <w:pPr>
              <w:rPr>
                <w:rFonts w:ascii="Arial" w:hAnsi="Arial" w:cs="Arial"/>
                <w:sz w:val="20"/>
                <w:szCs w:val="20"/>
              </w:rPr>
            </w:pPr>
            <w:r w:rsidRPr="005D5C89">
              <w:rPr>
                <w:rFonts w:ascii="Arial" w:hAnsi="Arial" w:cs="Arial"/>
                <w:sz w:val="20"/>
                <w:szCs w:val="20"/>
              </w:rPr>
              <w:t>Our funding traditionally contributes towards the core running costs of the organisation rather than the delivery of public-facing work. This can no longer be prioritised. Remaining funding focuses on supporting marketing of cultural organisations and key city events to a tourist audience.</w:t>
            </w:r>
          </w:p>
          <w:p w:rsidR="005D5C89" w:rsidRPr="005D5C89" w:rsidRDefault="005D5C89" w:rsidP="00C8411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5C89" w:rsidRPr="005D5C89" w:rsidRDefault="005D5C89" w:rsidP="00C84110">
            <w:pPr>
              <w:rPr>
                <w:rFonts w:ascii="Arial" w:hAnsi="Arial" w:cs="Arial"/>
                <w:sz w:val="20"/>
                <w:szCs w:val="20"/>
              </w:rPr>
            </w:pPr>
            <w:r w:rsidRPr="005D5C89">
              <w:rPr>
                <w:rFonts w:ascii="Arial" w:hAnsi="Arial" w:cs="Arial"/>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5C89" w:rsidRPr="005D5C89" w:rsidRDefault="005D5C89" w:rsidP="00C84110">
            <w:pPr>
              <w:rPr>
                <w:rFonts w:ascii="Arial" w:hAnsi="Arial" w:cs="Arial"/>
                <w:sz w:val="20"/>
                <w:szCs w:val="20"/>
              </w:rPr>
            </w:pPr>
            <w:r w:rsidRPr="005D5C89">
              <w:rPr>
                <w:rFonts w:ascii="Arial" w:hAnsi="Arial" w:cs="Arial"/>
                <w:sz w:val="20"/>
                <w:szCs w:val="20"/>
              </w:rPr>
              <w:t>£2,000</w:t>
            </w:r>
          </w:p>
        </w:tc>
      </w:tr>
    </w:tbl>
    <w:p w:rsidR="00360BBF" w:rsidRDefault="00360BBF" w:rsidP="00360BBF">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5"/>
        <w:gridCol w:w="1134"/>
        <w:gridCol w:w="1134"/>
      </w:tblGrid>
      <w:tr w:rsidR="00360BBF" w:rsidRPr="00D85932" w:rsidTr="00EE22B6">
        <w:tc>
          <w:tcPr>
            <w:tcW w:w="12015" w:type="dxa"/>
            <w:tcBorders>
              <w:top w:val="single" w:sz="4" w:space="0" w:color="auto"/>
              <w:left w:val="single" w:sz="4" w:space="0" w:color="auto"/>
              <w:bottom w:val="single" w:sz="4" w:space="0" w:color="auto"/>
              <w:right w:val="single" w:sz="4" w:space="0" w:color="auto"/>
            </w:tcBorders>
            <w:shd w:val="clear" w:color="auto" w:fill="auto"/>
          </w:tcPr>
          <w:p w:rsidR="00360BBF" w:rsidRPr="00D85932" w:rsidRDefault="00360BBF" w:rsidP="00EE22B6">
            <w:pPr>
              <w:rPr>
                <w:rFonts w:ascii="Arial" w:hAnsi="Arial" w:cs="Arial"/>
                <w:b/>
                <w:sz w:val="20"/>
                <w:szCs w:val="20"/>
              </w:rPr>
            </w:pPr>
            <w:r w:rsidRPr="00D85932">
              <w:rPr>
                <w:rFonts w:ascii="Arial" w:hAnsi="Arial" w:cs="Arial"/>
                <w:b/>
                <w:sz w:val="20"/>
                <w:szCs w:val="20"/>
              </w:rPr>
              <w:lastRenderedPageBreak/>
              <w:t>Organisation &amp; project description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BBF" w:rsidRPr="00D85932" w:rsidRDefault="00360BBF" w:rsidP="00EE22B6">
            <w:pPr>
              <w:rPr>
                <w:rFonts w:ascii="Arial" w:hAnsi="Arial" w:cs="Arial"/>
                <w:b/>
                <w:sz w:val="20"/>
                <w:szCs w:val="20"/>
              </w:rPr>
            </w:pPr>
            <w:r>
              <w:rPr>
                <w:rFonts w:ascii="Arial" w:hAnsi="Arial" w:cs="Arial"/>
                <w:b/>
                <w:sz w:val="20"/>
                <w:szCs w:val="20"/>
              </w:rPr>
              <w:t>Grant awarded 2016</w:t>
            </w:r>
            <w:r w:rsidRPr="00D85932">
              <w:rPr>
                <w:rFonts w:ascii="Arial" w:hAnsi="Arial" w:cs="Arial"/>
                <w:b/>
                <w:sz w:val="20"/>
                <w:szCs w:val="20"/>
              </w:rPr>
              <w:t>/1</w:t>
            </w:r>
            <w:r>
              <w:rPr>
                <w:rFonts w:ascii="Arial" w:hAnsi="Arial" w:cs="Arial"/>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BBF" w:rsidRPr="00D85932" w:rsidRDefault="00360BBF" w:rsidP="00EE22B6">
            <w:pPr>
              <w:rPr>
                <w:rFonts w:ascii="Arial" w:hAnsi="Arial" w:cs="Arial"/>
                <w:b/>
                <w:sz w:val="20"/>
                <w:szCs w:val="20"/>
              </w:rPr>
            </w:pPr>
            <w:proofErr w:type="spellStart"/>
            <w:r w:rsidRPr="00D85932">
              <w:rPr>
                <w:rFonts w:ascii="Arial" w:hAnsi="Arial" w:cs="Arial"/>
                <w:b/>
                <w:sz w:val="20"/>
                <w:szCs w:val="20"/>
              </w:rPr>
              <w:t>Recom</w:t>
            </w:r>
            <w:r>
              <w:rPr>
                <w:rFonts w:ascii="Arial" w:hAnsi="Arial" w:cs="Arial"/>
                <w:b/>
                <w:sz w:val="20"/>
                <w:szCs w:val="20"/>
              </w:rPr>
              <w:t>’d</w:t>
            </w:r>
            <w:proofErr w:type="spellEnd"/>
            <w:r w:rsidRPr="00D85932">
              <w:rPr>
                <w:rFonts w:ascii="Arial" w:hAnsi="Arial" w:cs="Arial"/>
                <w:b/>
                <w:sz w:val="20"/>
                <w:szCs w:val="20"/>
              </w:rPr>
              <w:t xml:space="preserve"> for 201</w:t>
            </w:r>
            <w:r>
              <w:rPr>
                <w:rFonts w:ascii="Arial" w:hAnsi="Arial" w:cs="Arial"/>
                <w:b/>
                <w:sz w:val="20"/>
                <w:szCs w:val="20"/>
              </w:rPr>
              <w:t>7/18</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Oxford International Link (OIL)</w:t>
            </w:r>
          </w:p>
          <w:p w:rsidR="00360BBF" w:rsidRDefault="00360BBF" w:rsidP="00EE22B6">
            <w:pPr>
              <w:rPr>
                <w:rFonts w:ascii="Arial" w:hAnsi="Arial" w:cs="Arial"/>
                <w:sz w:val="20"/>
                <w:szCs w:val="20"/>
              </w:rPr>
            </w:pPr>
            <w:r w:rsidRPr="004E5B16">
              <w:rPr>
                <w:rFonts w:ascii="Arial" w:hAnsi="Arial" w:cs="Arial"/>
                <w:sz w:val="20"/>
                <w:szCs w:val="20"/>
              </w:rPr>
              <w:t>An umbrella organisation co-ordinating twinning links and events throughout the year</w:t>
            </w:r>
            <w:r>
              <w:rPr>
                <w:rFonts w:ascii="Arial" w:hAnsi="Arial" w:cs="Arial"/>
                <w:sz w:val="20"/>
                <w:szCs w:val="20"/>
              </w:rPr>
              <w:t>, providing g</w:t>
            </w:r>
            <w:r w:rsidRPr="004E5B16">
              <w:rPr>
                <w:rFonts w:ascii="Arial" w:hAnsi="Arial" w:cs="Arial"/>
                <w:sz w:val="20"/>
                <w:szCs w:val="20"/>
              </w:rPr>
              <w:t xml:space="preserve">ood partnership working and brings a lot into the city in both funding and culture. </w:t>
            </w:r>
          </w:p>
          <w:p w:rsidR="00360BBF" w:rsidRDefault="00360BBF" w:rsidP="00EE22B6">
            <w:pPr>
              <w:rPr>
                <w:rFonts w:ascii="Arial" w:hAnsi="Arial" w:cs="Arial"/>
                <w:sz w:val="20"/>
                <w:szCs w:val="20"/>
              </w:rPr>
            </w:pPr>
          </w:p>
          <w:p w:rsidR="00360BBF" w:rsidRPr="004E5B16" w:rsidRDefault="00360BBF" w:rsidP="00EE22B6">
            <w:pPr>
              <w:rPr>
                <w:rFonts w:ascii="Arial" w:hAnsi="Arial" w:cs="Arial"/>
                <w:sz w:val="20"/>
                <w:szCs w:val="20"/>
              </w:rPr>
            </w:pPr>
            <w:r w:rsidRPr="004E5B16">
              <w:rPr>
                <w:rFonts w:ascii="Arial" w:hAnsi="Arial" w:cs="Arial"/>
                <w:sz w:val="20"/>
                <w:szCs w:val="20"/>
              </w:rPr>
              <w:t>The funding will be use</w:t>
            </w:r>
            <w:r>
              <w:rPr>
                <w:rFonts w:ascii="Arial" w:hAnsi="Arial" w:cs="Arial"/>
                <w:sz w:val="20"/>
                <w:szCs w:val="20"/>
              </w:rPr>
              <w:t>d</w:t>
            </w:r>
            <w:r w:rsidRPr="004E5B16">
              <w:rPr>
                <w:rFonts w:ascii="Arial" w:hAnsi="Arial" w:cs="Arial"/>
                <w:sz w:val="20"/>
                <w:szCs w:val="20"/>
              </w:rPr>
              <w:t xml:space="preserve"> to contribute towards the running costs of these events and to allocate grants to the twinning links for their community activity.</w:t>
            </w:r>
          </w:p>
          <w:p w:rsidR="00360BBF" w:rsidRPr="004E5B16" w:rsidRDefault="005D5C89" w:rsidP="005D5C89">
            <w:pPr>
              <w:tabs>
                <w:tab w:val="left" w:pos="2190"/>
              </w:tabs>
              <w:rPr>
                <w:rFonts w:ascii="Arial" w:hAnsi="Arial" w:cs="Arial"/>
                <w:sz w:val="20"/>
                <w:szCs w:val="20"/>
              </w:rPr>
            </w:pPr>
            <w:r>
              <w:rPr>
                <w:rFonts w:ascii="Arial" w:hAnsi="Arial" w:cs="Arial"/>
                <w:sz w:val="20"/>
                <w:szCs w:val="20"/>
              </w:rPr>
              <w:tab/>
            </w:r>
          </w:p>
          <w:p w:rsidR="00360BBF"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£6,000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£6,000</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Oxford Playhouse</w:t>
            </w:r>
          </w:p>
          <w:p w:rsidR="00360BBF" w:rsidRDefault="00360BBF" w:rsidP="00EE22B6">
            <w:pPr>
              <w:rPr>
                <w:rFonts w:ascii="Arial" w:hAnsi="Arial" w:cs="Arial"/>
                <w:sz w:val="20"/>
                <w:szCs w:val="20"/>
              </w:rPr>
            </w:pPr>
            <w:r w:rsidRPr="00035377">
              <w:rPr>
                <w:rFonts w:ascii="Arial" w:hAnsi="Arial" w:cs="Arial"/>
                <w:sz w:val="20"/>
                <w:szCs w:val="20"/>
              </w:rPr>
              <w:t xml:space="preserve">An organisation aiming to raise public awareness and appreciation of the arts through theatre, dance and music. </w:t>
            </w:r>
            <w:r>
              <w:rPr>
                <w:rFonts w:ascii="Arial" w:hAnsi="Arial" w:cs="Arial"/>
                <w:sz w:val="20"/>
                <w:szCs w:val="20"/>
              </w:rPr>
              <w:t>It boasts a g</w:t>
            </w:r>
            <w:r w:rsidRPr="00035377">
              <w:rPr>
                <w:rFonts w:ascii="Arial" w:hAnsi="Arial" w:cs="Arial"/>
                <w:sz w:val="20"/>
                <w:szCs w:val="20"/>
              </w:rPr>
              <w:t>ood national and international reputation</w:t>
            </w:r>
            <w:r>
              <w:rPr>
                <w:rFonts w:ascii="Arial" w:hAnsi="Arial" w:cs="Arial"/>
                <w:sz w:val="20"/>
                <w:szCs w:val="20"/>
              </w:rPr>
              <w:t xml:space="preserve"> and </w:t>
            </w:r>
            <w:r w:rsidR="005D5C89">
              <w:rPr>
                <w:rFonts w:ascii="Arial" w:hAnsi="Arial" w:cs="Arial"/>
                <w:sz w:val="20"/>
                <w:szCs w:val="20"/>
              </w:rPr>
              <w:t>delivers</w:t>
            </w:r>
            <w:r w:rsidRPr="00035377">
              <w:rPr>
                <w:rFonts w:ascii="Arial" w:hAnsi="Arial" w:cs="Arial"/>
                <w:sz w:val="20"/>
                <w:szCs w:val="20"/>
              </w:rPr>
              <w:t xml:space="preserve"> a range of participatory opportunities for the community including youth theatre, access performances for people who are hard of hearing, deaf, blind and partially sighted</w:t>
            </w:r>
            <w:r>
              <w:rPr>
                <w:rFonts w:ascii="Arial" w:hAnsi="Arial" w:cs="Arial"/>
                <w:sz w:val="20"/>
                <w:szCs w:val="20"/>
              </w:rPr>
              <w:t xml:space="preserve"> and</w:t>
            </w:r>
            <w:r w:rsidRPr="00035377">
              <w:rPr>
                <w:rFonts w:ascii="Arial" w:hAnsi="Arial" w:cs="Arial"/>
                <w:sz w:val="20"/>
                <w:szCs w:val="20"/>
              </w:rPr>
              <w:t xml:space="preserve"> support for local artists and family friendly initiatives. </w:t>
            </w:r>
          </w:p>
          <w:p w:rsidR="00360BBF" w:rsidRDefault="00360BBF" w:rsidP="00EE22B6">
            <w:pPr>
              <w:rPr>
                <w:rFonts w:ascii="Arial" w:hAnsi="Arial" w:cs="Arial"/>
                <w:sz w:val="20"/>
                <w:szCs w:val="20"/>
              </w:rPr>
            </w:pPr>
          </w:p>
          <w:p w:rsidR="00360BBF" w:rsidRPr="00035377" w:rsidRDefault="00360BBF" w:rsidP="00EE22B6">
            <w:pPr>
              <w:rPr>
                <w:rFonts w:ascii="Arial" w:hAnsi="Arial" w:cs="Arial"/>
                <w:sz w:val="20"/>
                <w:szCs w:val="20"/>
              </w:rPr>
            </w:pPr>
            <w:r w:rsidRPr="00035377">
              <w:rPr>
                <w:rFonts w:ascii="Arial" w:hAnsi="Arial" w:cs="Arial"/>
                <w:sz w:val="20"/>
                <w:szCs w:val="20"/>
              </w:rPr>
              <w:t>The funding will contribute towards community based/focused projects.</w:t>
            </w:r>
          </w:p>
          <w:p w:rsidR="00360BBF"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£24,000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£24,000</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Arts at the Old Fire Station</w:t>
            </w:r>
          </w:p>
          <w:p w:rsidR="00360BBF" w:rsidRDefault="005D5C89" w:rsidP="00EE22B6">
            <w:pPr>
              <w:rPr>
                <w:rFonts w:ascii="Arial" w:hAnsi="Arial" w:cs="Arial"/>
                <w:sz w:val="20"/>
                <w:szCs w:val="20"/>
              </w:rPr>
            </w:pPr>
            <w:r>
              <w:rPr>
                <w:rFonts w:ascii="Arial" w:hAnsi="Arial" w:cs="Arial"/>
                <w:sz w:val="20"/>
                <w:szCs w:val="20"/>
              </w:rPr>
              <w:t>The</w:t>
            </w:r>
            <w:r w:rsidR="00360BBF" w:rsidRPr="00035377">
              <w:rPr>
                <w:rFonts w:ascii="Arial" w:hAnsi="Arial" w:cs="Arial"/>
                <w:sz w:val="20"/>
                <w:szCs w:val="20"/>
              </w:rPr>
              <w:t xml:space="preserve"> Arts at the Old Fire Station is a charity and social enterprise offering support for emerging artists and a gallery with a wide range of exhibitions, a theatre offering music and drama</w:t>
            </w:r>
            <w:r w:rsidR="00360BBF">
              <w:rPr>
                <w:rFonts w:ascii="Arial" w:hAnsi="Arial" w:cs="Arial"/>
                <w:sz w:val="20"/>
                <w:szCs w:val="20"/>
              </w:rPr>
              <w:t xml:space="preserve"> and</w:t>
            </w:r>
            <w:r w:rsidR="00360BBF" w:rsidRPr="00035377">
              <w:rPr>
                <w:rFonts w:ascii="Arial" w:hAnsi="Arial" w:cs="Arial"/>
                <w:sz w:val="20"/>
                <w:szCs w:val="20"/>
              </w:rPr>
              <w:t xml:space="preserve"> a studio for all kinds of dance and workshops for artists. </w:t>
            </w:r>
          </w:p>
          <w:p w:rsidR="00360BBF" w:rsidRDefault="00360BBF" w:rsidP="00EE22B6">
            <w:pPr>
              <w:rPr>
                <w:rFonts w:ascii="Arial" w:hAnsi="Arial" w:cs="Arial"/>
                <w:sz w:val="20"/>
                <w:szCs w:val="20"/>
              </w:rPr>
            </w:pPr>
          </w:p>
          <w:p w:rsidR="00360BBF" w:rsidRPr="00035377" w:rsidRDefault="00360BBF" w:rsidP="00EE22B6">
            <w:pPr>
              <w:rPr>
                <w:rFonts w:ascii="Arial" w:hAnsi="Arial" w:cs="Arial"/>
                <w:sz w:val="20"/>
                <w:szCs w:val="20"/>
              </w:rPr>
            </w:pPr>
            <w:r w:rsidRPr="00035377">
              <w:rPr>
                <w:rFonts w:ascii="Arial" w:hAnsi="Arial" w:cs="Arial"/>
                <w:sz w:val="20"/>
                <w:szCs w:val="20"/>
              </w:rPr>
              <w:t>The funding will contribute to the delivery of this work.</w:t>
            </w:r>
          </w:p>
          <w:p w:rsidR="00360BBF" w:rsidRPr="00035377" w:rsidRDefault="00360BBF" w:rsidP="00EE22B6">
            <w:pPr>
              <w:rPr>
                <w:rFonts w:ascii="Arial" w:hAnsi="Arial" w:cs="Arial"/>
                <w:sz w:val="20"/>
                <w:szCs w:val="20"/>
              </w:rPr>
            </w:pPr>
          </w:p>
          <w:p w:rsidR="00360BBF"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£32,134</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£32,134</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Pegasus Theatre</w:t>
            </w:r>
          </w:p>
          <w:p w:rsidR="00360BBF" w:rsidRDefault="00360BBF" w:rsidP="00EE22B6">
            <w:pPr>
              <w:rPr>
                <w:rFonts w:ascii="Arial" w:hAnsi="Arial" w:cs="Arial"/>
                <w:sz w:val="20"/>
                <w:szCs w:val="20"/>
              </w:rPr>
            </w:pPr>
            <w:r w:rsidRPr="00035377">
              <w:rPr>
                <w:rFonts w:ascii="Arial" w:hAnsi="Arial" w:cs="Arial"/>
                <w:sz w:val="20"/>
                <w:szCs w:val="20"/>
              </w:rPr>
              <w:t xml:space="preserve">An organisation promoting the appreciation of the arts in particular for the benefit of children and young people. </w:t>
            </w:r>
            <w:r>
              <w:rPr>
                <w:rFonts w:ascii="Arial" w:hAnsi="Arial" w:cs="Arial"/>
                <w:sz w:val="20"/>
                <w:szCs w:val="20"/>
              </w:rPr>
              <w:t>The organisation boasts a s</w:t>
            </w:r>
            <w:r w:rsidRPr="00035377">
              <w:rPr>
                <w:rFonts w:ascii="Arial" w:hAnsi="Arial" w:cs="Arial"/>
                <w:sz w:val="20"/>
                <w:szCs w:val="20"/>
              </w:rPr>
              <w:t xml:space="preserve">trong reputation, good partnership working and good track record delivering high quality accessible arts. </w:t>
            </w:r>
            <w:r>
              <w:rPr>
                <w:rFonts w:ascii="Arial" w:hAnsi="Arial" w:cs="Arial"/>
                <w:sz w:val="20"/>
                <w:szCs w:val="20"/>
              </w:rPr>
              <w:t>I</w:t>
            </w:r>
            <w:r w:rsidR="005D5C89">
              <w:rPr>
                <w:rFonts w:ascii="Arial" w:hAnsi="Arial" w:cs="Arial"/>
                <w:sz w:val="20"/>
                <w:szCs w:val="20"/>
              </w:rPr>
              <w:t>t</w:t>
            </w:r>
            <w:r>
              <w:rPr>
                <w:rFonts w:ascii="Arial" w:hAnsi="Arial" w:cs="Arial"/>
                <w:sz w:val="20"/>
                <w:szCs w:val="20"/>
              </w:rPr>
              <w:t xml:space="preserve"> </w:t>
            </w:r>
            <w:r w:rsidR="005D5C89">
              <w:rPr>
                <w:rFonts w:ascii="Arial" w:hAnsi="Arial" w:cs="Arial"/>
                <w:sz w:val="20"/>
                <w:szCs w:val="20"/>
              </w:rPr>
              <w:t>d</w:t>
            </w:r>
            <w:r w:rsidRPr="00035377">
              <w:rPr>
                <w:rFonts w:ascii="Arial" w:hAnsi="Arial" w:cs="Arial"/>
                <w:sz w:val="20"/>
                <w:szCs w:val="20"/>
              </w:rPr>
              <w:t xml:space="preserve">elivers projects with children and young people targeting socially excluded groups. </w:t>
            </w:r>
          </w:p>
          <w:p w:rsidR="00360BBF" w:rsidRDefault="00360BBF" w:rsidP="00EE22B6">
            <w:pPr>
              <w:rPr>
                <w:rFonts w:ascii="Arial" w:hAnsi="Arial" w:cs="Arial"/>
                <w:sz w:val="20"/>
                <w:szCs w:val="20"/>
              </w:rPr>
            </w:pPr>
          </w:p>
          <w:p w:rsidR="00360BBF" w:rsidRPr="00035377" w:rsidRDefault="00360BBF" w:rsidP="00EE22B6">
            <w:pPr>
              <w:rPr>
                <w:rFonts w:ascii="Arial" w:hAnsi="Arial" w:cs="Arial"/>
                <w:sz w:val="20"/>
                <w:szCs w:val="20"/>
              </w:rPr>
            </w:pPr>
            <w:r w:rsidRPr="00035377">
              <w:rPr>
                <w:rFonts w:ascii="Arial" w:hAnsi="Arial" w:cs="Arial"/>
                <w:sz w:val="20"/>
                <w:szCs w:val="20"/>
              </w:rPr>
              <w:t>The funding will be used to contribute to the delivery of their work with children and young people.</w:t>
            </w:r>
          </w:p>
          <w:p w:rsidR="00360BBF"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£25,000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£25,000</w:t>
            </w:r>
          </w:p>
        </w:tc>
      </w:tr>
    </w:tbl>
    <w:p w:rsidR="00360BBF" w:rsidRDefault="00360BBF" w:rsidP="00360BBF">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5"/>
        <w:gridCol w:w="1134"/>
        <w:gridCol w:w="1134"/>
      </w:tblGrid>
      <w:tr w:rsidR="00360BBF" w:rsidRPr="00D85932" w:rsidTr="00EE22B6">
        <w:tc>
          <w:tcPr>
            <w:tcW w:w="12015" w:type="dxa"/>
            <w:tcBorders>
              <w:top w:val="single" w:sz="4" w:space="0" w:color="auto"/>
              <w:left w:val="single" w:sz="4" w:space="0" w:color="auto"/>
              <w:bottom w:val="single" w:sz="4" w:space="0" w:color="auto"/>
              <w:right w:val="single" w:sz="4" w:space="0" w:color="auto"/>
            </w:tcBorders>
            <w:shd w:val="clear" w:color="auto" w:fill="auto"/>
          </w:tcPr>
          <w:p w:rsidR="00360BBF" w:rsidRPr="00035377" w:rsidRDefault="00360BBF" w:rsidP="00EE22B6">
            <w:pPr>
              <w:rPr>
                <w:rFonts w:ascii="Arial" w:hAnsi="Arial" w:cs="Arial"/>
                <w:b/>
                <w:sz w:val="20"/>
                <w:szCs w:val="20"/>
                <w:u w:val="single"/>
              </w:rPr>
            </w:pPr>
            <w:r w:rsidRPr="00035377">
              <w:rPr>
                <w:rFonts w:ascii="Arial" w:hAnsi="Arial" w:cs="Arial"/>
                <w:b/>
                <w:sz w:val="20"/>
                <w:szCs w:val="20"/>
                <w:u w:val="single"/>
              </w:rPr>
              <w:lastRenderedPageBreak/>
              <w:t>Organisation &amp; project description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BBF" w:rsidRPr="00035377" w:rsidRDefault="00360BBF" w:rsidP="00EE22B6">
            <w:pPr>
              <w:rPr>
                <w:rFonts w:ascii="Arial" w:hAnsi="Arial" w:cs="Arial"/>
                <w:sz w:val="20"/>
                <w:szCs w:val="20"/>
              </w:rPr>
            </w:pPr>
            <w:r w:rsidRPr="00035377">
              <w:rPr>
                <w:rFonts w:ascii="Arial" w:hAnsi="Arial" w:cs="Arial"/>
                <w:sz w:val="20"/>
                <w:szCs w:val="20"/>
              </w:rPr>
              <w:t>Grant awarded 201</w:t>
            </w:r>
            <w:r>
              <w:rPr>
                <w:rFonts w:ascii="Arial" w:hAnsi="Arial" w:cs="Arial"/>
                <w:sz w:val="20"/>
                <w:szCs w:val="20"/>
              </w:rPr>
              <w:t>6</w:t>
            </w:r>
            <w:r w:rsidRPr="00035377">
              <w:rPr>
                <w:rFonts w:ascii="Arial" w:hAnsi="Arial" w:cs="Arial"/>
                <w:sz w:val="20"/>
                <w:szCs w:val="20"/>
              </w:rPr>
              <w:t>/1</w:t>
            </w: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BBF" w:rsidRPr="00035377" w:rsidRDefault="00360BBF" w:rsidP="00EE22B6">
            <w:pPr>
              <w:rPr>
                <w:rFonts w:ascii="Arial" w:hAnsi="Arial" w:cs="Arial"/>
                <w:sz w:val="20"/>
                <w:szCs w:val="20"/>
              </w:rPr>
            </w:pPr>
            <w:proofErr w:type="spellStart"/>
            <w:r w:rsidRPr="00035377">
              <w:rPr>
                <w:rFonts w:ascii="Arial" w:hAnsi="Arial" w:cs="Arial"/>
                <w:sz w:val="20"/>
                <w:szCs w:val="20"/>
              </w:rPr>
              <w:t>Recom’d</w:t>
            </w:r>
            <w:proofErr w:type="spellEnd"/>
            <w:r w:rsidRPr="00035377">
              <w:rPr>
                <w:rFonts w:ascii="Arial" w:hAnsi="Arial" w:cs="Arial"/>
                <w:sz w:val="20"/>
                <w:szCs w:val="20"/>
              </w:rPr>
              <w:t xml:space="preserve"> for 201</w:t>
            </w:r>
            <w:r>
              <w:rPr>
                <w:rFonts w:ascii="Arial" w:hAnsi="Arial" w:cs="Arial"/>
                <w:sz w:val="20"/>
                <w:szCs w:val="20"/>
              </w:rPr>
              <w:t>7</w:t>
            </w:r>
            <w:r w:rsidRPr="00035377">
              <w:rPr>
                <w:rFonts w:ascii="Arial" w:hAnsi="Arial" w:cs="Arial"/>
                <w:sz w:val="20"/>
                <w:szCs w:val="20"/>
              </w:rPr>
              <w:t>/1</w:t>
            </w:r>
            <w:r>
              <w:rPr>
                <w:rFonts w:ascii="Arial" w:hAnsi="Arial" w:cs="Arial"/>
                <w:sz w:val="20"/>
                <w:szCs w:val="20"/>
              </w:rPr>
              <w:t>8</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OVADA</w:t>
            </w:r>
          </w:p>
          <w:p w:rsidR="00360BBF" w:rsidRDefault="00360BBF" w:rsidP="00EE22B6">
            <w:pPr>
              <w:rPr>
                <w:rFonts w:ascii="Arial" w:hAnsi="Arial" w:cs="Arial"/>
                <w:sz w:val="20"/>
                <w:szCs w:val="20"/>
              </w:rPr>
            </w:pPr>
            <w:r w:rsidRPr="00035377">
              <w:rPr>
                <w:rFonts w:ascii="Arial" w:hAnsi="Arial" w:cs="Arial"/>
                <w:sz w:val="20"/>
                <w:szCs w:val="20"/>
              </w:rPr>
              <w:t>OVADA provide opportunities for artists to create new work, support the transfer of skills, knowledge &amp; experience, encourage collaborations between artists, develop</w:t>
            </w:r>
            <w:r>
              <w:rPr>
                <w:rFonts w:ascii="Arial" w:hAnsi="Arial" w:cs="Arial"/>
                <w:sz w:val="20"/>
                <w:szCs w:val="20"/>
              </w:rPr>
              <w:t>s</w:t>
            </w:r>
            <w:r w:rsidRPr="00035377">
              <w:rPr>
                <w:rFonts w:ascii="Arial" w:hAnsi="Arial" w:cs="Arial"/>
                <w:sz w:val="20"/>
                <w:szCs w:val="20"/>
              </w:rPr>
              <w:t xml:space="preserve"> partnerships, exhibit</w:t>
            </w:r>
            <w:r>
              <w:rPr>
                <w:rFonts w:ascii="Arial" w:hAnsi="Arial" w:cs="Arial"/>
                <w:sz w:val="20"/>
                <w:szCs w:val="20"/>
              </w:rPr>
              <w:t>s</w:t>
            </w:r>
            <w:r w:rsidRPr="00035377">
              <w:rPr>
                <w:rFonts w:ascii="Arial" w:hAnsi="Arial" w:cs="Arial"/>
                <w:sz w:val="20"/>
                <w:szCs w:val="20"/>
              </w:rPr>
              <w:t xml:space="preserve"> work and build</w:t>
            </w:r>
            <w:r>
              <w:rPr>
                <w:rFonts w:ascii="Arial" w:hAnsi="Arial" w:cs="Arial"/>
                <w:sz w:val="20"/>
                <w:szCs w:val="20"/>
              </w:rPr>
              <w:t>s</w:t>
            </w:r>
            <w:r w:rsidRPr="00035377">
              <w:rPr>
                <w:rFonts w:ascii="Arial" w:hAnsi="Arial" w:cs="Arial"/>
                <w:sz w:val="20"/>
                <w:szCs w:val="20"/>
              </w:rPr>
              <w:t xml:space="preserve"> new audiences for contemporary art. </w:t>
            </w:r>
          </w:p>
          <w:p w:rsidR="00360BBF" w:rsidRDefault="00360BBF" w:rsidP="00EE22B6">
            <w:pPr>
              <w:rPr>
                <w:rFonts w:ascii="Arial" w:hAnsi="Arial" w:cs="Arial"/>
                <w:sz w:val="20"/>
                <w:szCs w:val="20"/>
              </w:rPr>
            </w:pPr>
          </w:p>
          <w:p w:rsidR="00360BBF" w:rsidRDefault="00360BBF" w:rsidP="00EE22B6">
            <w:pPr>
              <w:rPr>
                <w:rFonts w:ascii="Arial" w:hAnsi="Arial" w:cs="Arial"/>
                <w:sz w:val="20"/>
                <w:szCs w:val="20"/>
              </w:rPr>
            </w:pPr>
            <w:r w:rsidRPr="00035377">
              <w:rPr>
                <w:rFonts w:ascii="Arial" w:hAnsi="Arial" w:cs="Arial"/>
                <w:sz w:val="20"/>
                <w:szCs w:val="20"/>
              </w:rPr>
              <w:t xml:space="preserve">OVADA has strong links to local schools and to further and higher education providers in Oxford and have developed a workshop programme with </w:t>
            </w:r>
            <w:r>
              <w:rPr>
                <w:rFonts w:ascii="Arial" w:hAnsi="Arial" w:cs="Arial"/>
                <w:sz w:val="20"/>
                <w:szCs w:val="20"/>
              </w:rPr>
              <w:t>City of Oxford College</w:t>
            </w:r>
            <w:r w:rsidRPr="00035377">
              <w:rPr>
                <w:rFonts w:ascii="Arial" w:hAnsi="Arial" w:cs="Arial"/>
                <w:sz w:val="20"/>
                <w:szCs w:val="20"/>
              </w:rPr>
              <w:t>. Their wider programme includes opportunities for students to work in the space, alongside professional artists and practitioners</w:t>
            </w:r>
            <w:r>
              <w:rPr>
                <w:rFonts w:ascii="Arial" w:hAnsi="Arial" w:cs="Arial"/>
                <w:sz w:val="20"/>
                <w:szCs w:val="20"/>
              </w:rPr>
              <w:t>. OVADA will offer day courses</w:t>
            </w:r>
            <w:r w:rsidRPr="00035377">
              <w:rPr>
                <w:rFonts w:ascii="Arial" w:hAnsi="Arial" w:cs="Arial"/>
                <w:sz w:val="20"/>
                <w:szCs w:val="20"/>
              </w:rPr>
              <w:t xml:space="preserve"> and workshops to these young people.</w:t>
            </w:r>
          </w:p>
          <w:p w:rsidR="00360BBF" w:rsidRDefault="00360BBF" w:rsidP="00EE22B6">
            <w:pPr>
              <w:rPr>
                <w:rFonts w:ascii="Arial" w:hAnsi="Arial" w:cs="Arial"/>
                <w:sz w:val="20"/>
                <w:szCs w:val="20"/>
              </w:rPr>
            </w:pPr>
          </w:p>
          <w:p w:rsidR="00360BBF" w:rsidRDefault="00360BBF" w:rsidP="00EE22B6">
            <w:pPr>
              <w:rPr>
                <w:rFonts w:ascii="Arial" w:hAnsi="Arial" w:cs="Arial"/>
                <w:b/>
                <w:sz w:val="20"/>
                <w:szCs w:val="20"/>
                <w:u w:val="single"/>
              </w:rPr>
            </w:pPr>
            <w:r w:rsidRPr="00035377">
              <w:rPr>
                <w:rFonts w:ascii="Arial" w:hAnsi="Arial" w:cs="Arial"/>
                <w:sz w:val="20"/>
                <w:szCs w:val="20"/>
              </w:rPr>
              <w:t>The funding will contribute to the delivery of this work.</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£5,000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£5,000</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Ark T Centre</w:t>
            </w:r>
          </w:p>
          <w:p w:rsidR="00360BBF" w:rsidRDefault="00360BBF" w:rsidP="00EE22B6">
            <w:pPr>
              <w:rPr>
                <w:rFonts w:ascii="Arial" w:hAnsi="Arial" w:cs="Arial"/>
                <w:sz w:val="20"/>
                <w:szCs w:val="20"/>
              </w:rPr>
            </w:pPr>
            <w:r w:rsidRPr="00035377">
              <w:rPr>
                <w:rFonts w:ascii="Arial" w:hAnsi="Arial" w:cs="Arial"/>
                <w:sz w:val="20"/>
                <w:szCs w:val="20"/>
              </w:rPr>
              <w:t xml:space="preserve">The Ark T Centre delivers art exhibitions, creative workshops, dance and music. There’s a recording studio for young musicians, </w:t>
            </w:r>
            <w:r>
              <w:rPr>
                <w:rFonts w:ascii="Arial" w:hAnsi="Arial" w:cs="Arial"/>
                <w:sz w:val="20"/>
                <w:szCs w:val="20"/>
              </w:rPr>
              <w:t xml:space="preserve">a </w:t>
            </w:r>
            <w:r w:rsidRPr="00035377">
              <w:rPr>
                <w:rFonts w:ascii="Arial" w:hAnsi="Arial" w:cs="Arial"/>
                <w:sz w:val="20"/>
                <w:szCs w:val="20"/>
              </w:rPr>
              <w:t xml:space="preserve">rehearsal space for theatre and dance, a performance and concert area and studios for a group of resident artists. </w:t>
            </w:r>
          </w:p>
          <w:p w:rsidR="00360BBF" w:rsidRDefault="00360BBF" w:rsidP="00EE22B6">
            <w:pPr>
              <w:rPr>
                <w:rFonts w:ascii="Arial" w:hAnsi="Arial" w:cs="Arial"/>
                <w:sz w:val="20"/>
                <w:szCs w:val="20"/>
              </w:rPr>
            </w:pPr>
          </w:p>
          <w:p w:rsidR="00360BBF" w:rsidRDefault="00360BBF" w:rsidP="00EE22B6">
            <w:pPr>
              <w:rPr>
                <w:rFonts w:ascii="Arial" w:hAnsi="Arial" w:cs="Arial"/>
                <w:sz w:val="20"/>
                <w:szCs w:val="20"/>
              </w:rPr>
            </w:pPr>
            <w:r w:rsidRPr="00035377">
              <w:rPr>
                <w:rFonts w:ascii="Arial" w:hAnsi="Arial" w:cs="Arial"/>
                <w:sz w:val="20"/>
                <w:szCs w:val="20"/>
              </w:rPr>
              <w:t xml:space="preserve">Around 900 people come into the Centre each week, some sharing in projects that are open to the public and others in programmes that are run for specific groups. </w:t>
            </w:r>
          </w:p>
          <w:p w:rsidR="00360BBF" w:rsidRDefault="00360BBF" w:rsidP="00EE22B6">
            <w:pPr>
              <w:rPr>
                <w:rFonts w:ascii="Arial" w:hAnsi="Arial" w:cs="Arial"/>
                <w:sz w:val="20"/>
                <w:szCs w:val="20"/>
              </w:rPr>
            </w:pPr>
          </w:p>
          <w:p w:rsidR="00360BBF" w:rsidRDefault="00360BBF" w:rsidP="00EE22B6">
            <w:pPr>
              <w:rPr>
                <w:rFonts w:ascii="Arial" w:hAnsi="Arial" w:cs="Arial"/>
                <w:b/>
                <w:sz w:val="20"/>
                <w:szCs w:val="20"/>
                <w:u w:val="single"/>
              </w:rPr>
            </w:pPr>
            <w:r w:rsidRPr="00035377">
              <w:rPr>
                <w:rFonts w:ascii="Arial" w:hAnsi="Arial" w:cs="Arial"/>
                <w:sz w:val="20"/>
                <w:szCs w:val="20"/>
              </w:rPr>
              <w:t>The funding will contribute to the delivery of this work.</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£5,000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£5,000</w:t>
            </w:r>
          </w:p>
        </w:tc>
      </w:tr>
      <w:tr w:rsidR="00360BBF" w:rsidRPr="00D85932" w:rsidTr="00EE22B6">
        <w:tc>
          <w:tcPr>
            <w:tcW w:w="12015" w:type="dxa"/>
            <w:shd w:val="clear" w:color="auto" w:fill="auto"/>
          </w:tcPr>
          <w:p w:rsidR="00360BBF" w:rsidRDefault="00360BBF" w:rsidP="00EE22B6">
            <w:pPr>
              <w:rPr>
                <w:rFonts w:ascii="Arial" w:hAnsi="Arial" w:cs="Arial"/>
                <w:b/>
                <w:sz w:val="20"/>
                <w:szCs w:val="20"/>
                <w:u w:val="single"/>
              </w:rPr>
            </w:pPr>
            <w:r>
              <w:rPr>
                <w:rFonts w:ascii="Arial" w:hAnsi="Arial" w:cs="Arial"/>
                <w:b/>
                <w:sz w:val="20"/>
                <w:szCs w:val="20"/>
                <w:u w:val="single"/>
              </w:rPr>
              <w:t>Oxford Philharmonic</w:t>
            </w:r>
          </w:p>
          <w:p w:rsidR="00360BBF" w:rsidRPr="00081A61" w:rsidRDefault="00360BBF" w:rsidP="00EE22B6">
            <w:pPr>
              <w:rPr>
                <w:rFonts w:ascii="Arial" w:hAnsi="Arial" w:cs="Arial"/>
                <w:sz w:val="20"/>
                <w:szCs w:val="20"/>
              </w:rPr>
            </w:pPr>
            <w:r w:rsidRPr="00081A61">
              <w:rPr>
                <w:rFonts w:ascii="Arial" w:hAnsi="Arial" w:cs="Arial"/>
                <w:sz w:val="20"/>
                <w:szCs w:val="20"/>
              </w:rPr>
              <w:t xml:space="preserve">Funding </w:t>
            </w:r>
            <w:r w:rsidR="005D5C89">
              <w:rPr>
                <w:rFonts w:ascii="Arial" w:hAnsi="Arial" w:cs="Arial"/>
                <w:sz w:val="20"/>
                <w:szCs w:val="20"/>
              </w:rPr>
              <w:t xml:space="preserve">is </w:t>
            </w:r>
            <w:r w:rsidRPr="00081A61">
              <w:rPr>
                <w:rFonts w:ascii="Arial" w:hAnsi="Arial" w:cs="Arial"/>
                <w:sz w:val="20"/>
                <w:szCs w:val="20"/>
              </w:rPr>
              <w:t>specifically to enable O</w:t>
            </w:r>
            <w:r>
              <w:rPr>
                <w:rFonts w:ascii="Arial" w:hAnsi="Arial" w:cs="Arial"/>
                <w:sz w:val="20"/>
                <w:szCs w:val="20"/>
              </w:rPr>
              <w:t xml:space="preserve">xford </w:t>
            </w:r>
            <w:r w:rsidRPr="00081A61">
              <w:rPr>
                <w:rFonts w:ascii="Arial" w:hAnsi="Arial" w:cs="Arial"/>
                <w:sz w:val="20"/>
                <w:szCs w:val="20"/>
              </w:rPr>
              <w:t>P</w:t>
            </w:r>
            <w:r>
              <w:rPr>
                <w:rFonts w:ascii="Arial" w:hAnsi="Arial" w:cs="Arial"/>
                <w:sz w:val="20"/>
                <w:szCs w:val="20"/>
              </w:rPr>
              <w:t xml:space="preserve">hilharmonic </w:t>
            </w:r>
            <w:r w:rsidRPr="00081A61">
              <w:rPr>
                <w:rFonts w:ascii="Arial" w:hAnsi="Arial" w:cs="Arial"/>
                <w:sz w:val="20"/>
                <w:szCs w:val="20"/>
              </w:rPr>
              <w:t>to increase the number of free family concerts they deliver from 2 to 3 each year, to continue to offer discounted tickets for young people for concerts (with at least 100 free tickets per year to be distributed through the Communities team), continue to deliver work in hospitals and primary schools, and contribute at least one event / activity to the city's Light Festival in November each year.</w:t>
            </w:r>
          </w:p>
          <w:p w:rsidR="00360BBF" w:rsidRPr="00081A61" w:rsidRDefault="00360BBF" w:rsidP="00EE22B6">
            <w:pPr>
              <w:rPr>
                <w:rFonts w:ascii="Arial" w:hAnsi="Arial" w:cs="Arial"/>
                <w:sz w:val="20"/>
                <w:szCs w:val="20"/>
              </w:rPr>
            </w:pPr>
          </w:p>
          <w:p w:rsidR="00360BBF" w:rsidRDefault="00360BBF" w:rsidP="00EE22B6">
            <w:pPr>
              <w:rPr>
                <w:rFonts w:ascii="Arial" w:hAnsi="Arial" w:cs="Arial"/>
                <w:b/>
                <w:sz w:val="20"/>
                <w:szCs w:val="20"/>
                <w:u w:val="single"/>
              </w:rPr>
            </w:pP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£3,000</w:t>
            </w:r>
          </w:p>
        </w:tc>
        <w:tc>
          <w:tcPr>
            <w:tcW w:w="1134" w:type="dxa"/>
            <w:shd w:val="clear" w:color="auto" w:fill="auto"/>
          </w:tcPr>
          <w:p w:rsidR="00360BBF" w:rsidRDefault="00360BBF" w:rsidP="00EE22B6">
            <w:pPr>
              <w:rPr>
                <w:rFonts w:ascii="Arial" w:hAnsi="Arial" w:cs="Arial"/>
                <w:sz w:val="20"/>
                <w:szCs w:val="20"/>
              </w:rPr>
            </w:pPr>
            <w:r>
              <w:rPr>
                <w:rFonts w:ascii="Arial" w:hAnsi="Arial" w:cs="Arial"/>
                <w:sz w:val="20"/>
                <w:szCs w:val="20"/>
              </w:rPr>
              <w:t>£3,000</w:t>
            </w:r>
          </w:p>
        </w:tc>
      </w:tr>
      <w:tr w:rsidR="00360BBF" w:rsidRPr="00DE1D4B" w:rsidTr="00EE22B6">
        <w:tc>
          <w:tcPr>
            <w:tcW w:w="12015" w:type="dxa"/>
            <w:shd w:val="clear" w:color="auto" w:fill="auto"/>
          </w:tcPr>
          <w:p w:rsidR="00360BBF" w:rsidRPr="00DE1D4B" w:rsidRDefault="00360BBF" w:rsidP="00EE22B6">
            <w:pPr>
              <w:rPr>
                <w:rFonts w:ascii="Arial" w:hAnsi="Arial" w:cs="Arial"/>
                <w:b/>
                <w:sz w:val="20"/>
                <w:szCs w:val="20"/>
                <w:u w:val="single"/>
              </w:rPr>
            </w:pPr>
            <w:r w:rsidRPr="00DE1D4B">
              <w:rPr>
                <w:rFonts w:ascii="Arial" w:hAnsi="Arial" w:cs="Arial"/>
                <w:b/>
                <w:sz w:val="20"/>
                <w:szCs w:val="20"/>
                <w:u w:val="single"/>
              </w:rPr>
              <w:t xml:space="preserve">Arts &amp; Culture </w:t>
            </w:r>
            <w:r>
              <w:rPr>
                <w:rFonts w:ascii="Arial" w:hAnsi="Arial" w:cs="Arial"/>
                <w:b/>
                <w:sz w:val="20"/>
                <w:szCs w:val="20"/>
                <w:u w:val="single"/>
              </w:rPr>
              <w:t xml:space="preserve">Theme </w:t>
            </w:r>
            <w:r w:rsidRPr="00DE1D4B">
              <w:rPr>
                <w:rFonts w:ascii="Arial" w:hAnsi="Arial" w:cs="Arial"/>
                <w:b/>
                <w:sz w:val="20"/>
                <w:szCs w:val="20"/>
                <w:u w:val="single"/>
              </w:rPr>
              <w:t>Total</w:t>
            </w:r>
          </w:p>
        </w:tc>
        <w:tc>
          <w:tcPr>
            <w:tcW w:w="1134" w:type="dxa"/>
            <w:shd w:val="clear" w:color="auto" w:fill="auto"/>
          </w:tcPr>
          <w:p w:rsidR="00360BBF" w:rsidRPr="00DE1D4B" w:rsidRDefault="00360BBF" w:rsidP="00EE22B6">
            <w:pPr>
              <w:rPr>
                <w:rFonts w:ascii="Arial" w:hAnsi="Arial" w:cs="Arial"/>
                <w:b/>
                <w:sz w:val="20"/>
                <w:szCs w:val="20"/>
              </w:rPr>
            </w:pPr>
            <w:r w:rsidRPr="00DE1D4B">
              <w:rPr>
                <w:rFonts w:ascii="Arial" w:hAnsi="Arial" w:cs="Arial"/>
                <w:b/>
                <w:sz w:val="20"/>
                <w:szCs w:val="20"/>
              </w:rPr>
              <w:t>£2</w:t>
            </w:r>
            <w:r>
              <w:rPr>
                <w:rFonts w:ascii="Arial" w:hAnsi="Arial" w:cs="Arial"/>
                <w:b/>
                <w:sz w:val="20"/>
                <w:szCs w:val="20"/>
              </w:rPr>
              <w:t>3</w:t>
            </w:r>
            <w:r w:rsidRPr="00DE1D4B">
              <w:rPr>
                <w:rFonts w:ascii="Arial" w:hAnsi="Arial" w:cs="Arial"/>
                <w:b/>
                <w:sz w:val="20"/>
                <w:szCs w:val="20"/>
              </w:rPr>
              <w:t>5</w:t>
            </w:r>
            <w:r>
              <w:rPr>
                <w:rFonts w:ascii="Arial" w:hAnsi="Arial" w:cs="Arial"/>
                <w:b/>
                <w:sz w:val="20"/>
                <w:szCs w:val="20"/>
              </w:rPr>
              <w:t>,</w:t>
            </w:r>
            <w:r w:rsidRPr="00DE1D4B">
              <w:rPr>
                <w:rFonts w:ascii="Arial" w:hAnsi="Arial" w:cs="Arial"/>
                <w:b/>
                <w:sz w:val="20"/>
                <w:szCs w:val="20"/>
              </w:rPr>
              <w:t>262</w:t>
            </w:r>
          </w:p>
        </w:tc>
        <w:tc>
          <w:tcPr>
            <w:tcW w:w="1134" w:type="dxa"/>
            <w:shd w:val="clear" w:color="auto" w:fill="auto"/>
          </w:tcPr>
          <w:p w:rsidR="00360BBF" w:rsidRPr="00DE1D4B" w:rsidRDefault="00360BBF" w:rsidP="00EE22B6">
            <w:pPr>
              <w:rPr>
                <w:rFonts w:ascii="Arial" w:hAnsi="Arial" w:cs="Arial"/>
                <w:b/>
                <w:sz w:val="20"/>
                <w:szCs w:val="20"/>
              </w:rPr>
            </w:pPr>
            <w:r w:rsidRPr="00DE1D4B">
              <w:rPr>
                <w:rFonts w:ascii="Arial" w:hAnsi="Arial" w:cs="Arial"/>
                <w:b/>
                <w:sz w:val="20"/>
                <w:szCs w:val="20"/>
              </w:rPr>
              <w:t>£2</w:t>
            </w:r>
            <w:r>
              <w:rPr>
                <w:rFonts w:ascii="Arial" w:hAnsi="Arial" w:cs="Arial"/>
                <w:b/>
                <w:sz w:val="20"/>
                <w:szCs w:val="20"/>
              </w:rPr>
              <w:t>35,</w:t>
            </w:r>
            <w:r w:rsidRPr="00DE1D4B">
              <w:rPr>
                <w:rFonts w:ascii="Arial" w:hAnsi="Arial" w:cs="Arial"/>
                <w:b/>
                <w:sz w:val="20"/>
                <w:szCs w:val="20"/>
              </w:rPr>
              <w:t>262</w:t>
            </w:r>
          </w:p>
        </w:tc>
      </w:tr>
    </w:tbl>
    <w:p w:rsidR="00360BBF" w:rsidRDefault="00360BBF" w:rsidP="00360BBF">
      <w:pPr>
        <w:rPr>
          <w:sz w:val="20"/>
          <w:szCs w:val="20"/>
        </w:rPr>
      </w:pPr>
    </w:p>
    <w:p w:rsidR="008A22C6" w:rsidRPr="008A22C6" w:rsidRDefault="008A22C6" w:rsidP="008A22C6"/>
    <w:sectPr w:rsidR="008A22C6" w:rsidRPr="008A22C6" w:rsidSect="00F9617F">
      <w:headerReference w:type="default" r:id="rId8"/>
      <w:pgSz w:w="16838" w:h="11906" w:orient="landscape"/>
      <w:pgMar w:top="1077" w:right="124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BF" w:rsidRDefault="00360BBF" w:rsidP="00360BBF">
      <w:r>
        <w:separator/>
      </w:r>
    </w:p>
  </w:endnote>
  <w:endnote w:type="continuationSeparator" w:id="0">
    <w:p w:rsidR="00360BBF" w:rsidRDefault="00360BBF" w:rsidP="0036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BF" w:rsidRDefault="00360BBF" w:rsidP="00360BBF">
      <w:r>
        <w:separator/>
      </w:r>
    </w:p>
  </w:footnote>
  <w:footnote w:type="continuationSeparator" w:id="0">
    <w:p w:rsidR="00360BBF" w:rsidRDefault="00360BBF" w:rsidP="0036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A5" w:rsidRPr="00301D82" w:rsidRDefault="00360BBF">
    <w:pPr>
      <w:pStyle w:val="Header"/>
      <w:rPr>
        <w:rFonts w:ascii="Arial" w:hAnsi="Arial" w:cs="Arial"/>
      </w:rPr>
    </w:pPr>
    <w:r w:rsidRPr="00301D82">
      <w:rPr>
        <w:rFonts w:ascii="Arial" w:hAnsi="Arial" w:cs="Arial"/>
      </w:rPr>
      <w:t xml:space="preserve">APPENDIX </w:t>
    </w:r>
    <w:r>
      <w:rPr>
        <w:rFonts w:ascii="Arial"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BF"/>
    <w:rsid w:val="000B4310"/>
    <w:rsid w:val="00194C33"/>
    <w:rsid w:val="001D7CD0"/>
    <w:rsid w:val="00360BBF"/>
    <w:rsid w:val="004000D7"/>
    <w:rsid w:val="00504E43"/>
    <w:rsid w:val="005D5C89"/>
    <w:rsid w:val="007908F4"/>
    <w:rsid w:val="008A22C6"/>
    <w:rsid w:val="00A2702F"/>
    <w:rsid w:val="00C07F80"/>
    <w:rsid w:val="00CE31B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BBF"/>
    <w:pPr>
      <w:tabs>
        <w:tab w:val="center" w:pos="4153"/>
        <w:tab w:val="right" w:pos="8306"/>
      </w:tabs>
    </w:pPr>
  </w:style>
  <w:style w:type="character" w:customStyle="1" w:styleId="HeaderChar">
    <w:name w:val="Header Char"/>
    <w:basedOn w:val="DefaultParagraphFont"/>
    <w:link w:val="Header"/>
    <w:rsid w:val="00360BBF"/>
    <w:rPr>
      <w:rFonts w:ascii="Times New Roman" w:eastAsia="Times New Roman" w:hAnsi="Times New Roman" w:cs="Times New Roman"/>
      <w:lang w:eastAsia="en-GB"/>
    </w:rPr>
  </w:style>
  <w:style w:type="paragraph" w:styleId="Footer">
    <w:name w:val="footer"/>
    <w:basedOn w:val="Normal"/>
    <w:link w:val="FooterChar"/>
    <w:uiPriority w:val="99"/>
    <w:unhideWhenUsed/>
    <w:rsid w:val="00360BBF"/>
    <w:pPr>
      <w:tabs>
        <w:tab w:val="center" w:pos="4513"/>
        <w:tab w:val="right" w:pos="9026"/>
      </w:tabs>
    </w:pPr>
  </w:style>
  <w:style w:type="character" w:customStyle="1" w:styleId="FooterChar">
    <w:name w:val="Footer Char"/>
    <w:basedOn w:val="DefaultParagraphFont"/>
    <w:link w:val="Footer"/>
    <w:uiPriority w:val="99"/>
    <w:rsid w:val="00360BBF"/>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BBF"/>
    <w:pPr>
      <w:tabs>
        <w:tab w:val="center" w:pos="4153"/>
        <w:tab w:val="right" w:pos="8306"/>
      </w:tabs>
    </w:pPr>
  </w:style>
  <w:style w:type="character" w:customStyle="1" w:styleId="HeaderChar">
    <w:name w:val="Header Char"/>
    <w:basedOn w:val="DefaultParagraphFont"/>
    <w:link w:val="Header"/>
    <w:rsid w:val="00360BBF"/>
    <w:rPr>
      <w:rFonts w:ascii="Times New Roman" w:eastAsia="Times New Roman" w:hAnsi="Times New Roman" w:cs="Times New Roman"/>
      <w:lang w:eastAsia="en-GB"/>
    </w:rPr>
  </w:style>
  <w:style w:type="paragraph" w:styleId="Footer">
    <w:name w:val="footer"/>
    <w:basedOn w:val="Normal"/>
    <w:link w:val="FooterChar"/>
    <w:uiPriority w:val="99"/>
    <w:unhideWhenUsed/>
    <w:rsid w:val="00360BBF"/>
    <w:pPr>
      <w:tabs>
        <w:tab w:val="center" w:pos="4513"/>
        <w:tab w:val="right" w:pos="9026"/>
      </w:tabs>
    </w:pPr>
  </w:style>
  <w:style w:type="character" w:customStyle="1" w:styleId="FooterChar">
    <w:name w:val="Footer Char"/>
    <w:basedOn w:val="DefaultParagraphFont"/>
    <w:link w:val="Footer"/>
    <w:uiPriority w:val="99"/>
    <w:rsid w:val="00360BB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DBEB-5659-459B-A37B-6129F90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94961A93</Template>
  <TotalTime>24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Julia.Tomkins</cp:lastModifiedBy>
  <cp:revision>3</cp:revision>
  <dcterms:created xsi:type="dcterms:W3CDTF">2017-11-29T16:27:00Z</dcterms:created>
  <dcterms:modified xsi:type="dcterms:W3CDTF">2018-01-17T12:57:00Z</dcterms:modified>
</cp:coreProperties>
</file>